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i w:val="0"/>
          <w:color w:val="0B2545"/>
          <w:sz w:val="32"/>
        </w:rPr>
        <w:t>DASHBOARD EJECUTIVO · EXPERIENCIA DE CLIENTE</w:t>
      </w:r>
    </w:p>
    <w:p>
      <w:r>
        <w:rPr>
          <w:b w:val="0"/>
          <w:i/>
          <w:color w:val="5B6676"/>
          <w:sz w:val="20"/>
        </w:rPr>
        <w:t>Banco Azteca · Q4 2025 — Preparación para Comité de enero 2026</w:t>
      </w:r>
    </w:p>
    <w:p>
      <w:r>
        <w:rPr>
          <w:b w:val="0"/>
          <w:i w:val="0"/>
          <w:color w:val="E3E6EC"/>
          <w:sz w:val="16"/>
        </w:rPr>
        <w:t>_____________________________________________________________________________________</w:t>
      </w:r>
    </w:p>
    <w:p>
      <w:r>
        <w:rPr>
          <w:b/>
          <w:i w:val="0"/>
          <w:color w:val="E63946"/>
          <w:sz w:val="22"/>
        </w:rPr>
        <w:t>1. NPS POR SEGMENTO · Q4 2025</w:t>
      </w:r>
    </w:p>
    <w:p>
      <w:r>
        <w:rPr>
          <w:b/>
          <w:i w:val="0"/>
          <w:sz w:val="20"/>
        </w:rPr>
        <w:t>Tendencia NPS · últimos 4 trimestres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</w:tblGrid>
      <w:tr>
        <w:tc>
          <w:tcPr>
            <w:tcW w:type="dxa" w:w="2040"/>
          </w:tcPr>
          <w:p>
            <w:r>
              <w:rPr>
                <w:b/>
                <w:sz w:val="18"/>
              </w:rPr>
              <w:t>Segmento</w:t>
            </w:r>
          </w:p>
        </w:tc>
        <w:tc>
          <w:tcPr>
            <w:tcW w:type="dxa" w:w="2040"/>
          </w:tcPr>
          <w:p>
            <w:r>
              <w:rPr>
                <w:b/>
                <w:sz w:val="18"/>
              </w:rPr>
              <w:t>Q1 2025</w:t>
            </w:r>
          </w:p>
        </w:tc>
        <w:tc>
          <w:tcPr>
            <w:tcW w:type="dxa" w:w="2040"/>
          </w:tcPr>
          <w:p>
            <w:r>
              <w:rPr>
                <w:b/>
                <w:sz w:val="18"/>
              </w:rPr>
              <w:t>Q2 2025</w:t>
            </w:r>
          </w:p>
        </w:tc>
        <w:tc>
          <w:tcPr>
            <w:tcW w:type="dxa" w:w="2040"/>
          </w:tcPr>
          <w:p>
            <w:r>
              <w:rPr>
                <w:b/>
                <w:sz w:val="18"/>
              </w:rPr>
              <w:t>Q3 2025</w:t>
            </w:r>
          </w:p>
        </w:tc>
        <w:tc>
          <w:tcPr>
            <w:tcW w:type="dxa" w:w="2040"/>
          </w:tcPr>
          <w:p>
            <w:r>
              <w:rPr>
                <w:b/>
                <w:sz w:val="18"/>
              </w:rPr>
              <w:t>Q4 2025</w:t>
            </w:r>
          </w:p>
        </w:tc>
      </w:tr>
      <w:tr>
        <w:tc>
          <w:tcPr>
            <w:tcW w:type="dxa" w:w="2040"/>
          </w:tcPr>
          <w:p>
            <w:r>
              <w:rPr>
                <w:sz w:val="18"/>
              </w:rPr>
              <w:t>Segmento A/B (alta renta)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+52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+48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+45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+41</w:t>
            </w:r>
          </w:p>
        </w:tc>
      </w:tr>
      <w:tr>
        <w:tc>
          <w:tcPr>
            <w:tcW w:type="dxa" w:w="2040"/>
          </w:tcPr>
          <w:p>
            <w:r>
              <w:rPr>
                <w:sz w:val="18"/>
              </w:rPr>
              <w:t>Segmento C (clase media)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+38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+35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+28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+22</w:t>
            </w:r>
          </w:p>
        </w:tc>
      </w:tr>
      <w:tr>
        <w:tc>
          <w:tcPr>
            <w:tcW w:type="dxa" w:w="2040"/>
          </w:tcPr>
          <w:p>
            <w:r>
              <w:rPr>
                <w:sz w:val="18"/>
              </w:rPr>
              <w:t>Segmento C-/D+ (emergente)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+24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+19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+12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-3</w:t>
            </w:r>
          </w:p>
        </w:tc>
      </w:tr>
      <w:tr>
        <w:tc>
          <w:tcPr>
            <w:tcW w:type="dxa" w:w="2040"/>
          </w:tcPr>
          <w:p>
            <w:r>
              <w:rPr>
                <w:sz w:val="18"/>
              </w:rPr>
              <w:t>Segmento D (base de pirámide)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+15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+8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-5</w:t>
            </w:r>
          </w:p>
        </w:tc>
        <w:tc>
          <w:tcPr>
            <w:tcW w:type="dxa" w:w="2040"/>
          </w:tcPr>
          <w:p>
            <w:r>
              <w:rPr>
                <w:sz w:val="18"/>
              </w:rPr>
              <w:t>-18</w:t>
            </w:r>
          </w:p>
        </w:tc>
      </w:tr>
    </w:tbl>
    <w:p>
      <w:r>
        <w:rPr>
          <w:b/>
          <w:i w:val="0"/>
          <w:color w:val="E63946"/>
          <w:sz w:val="20"/>
        </w:rPr>
        <w:t xml:space="preserve">Lectura rápida: </w:t>
      </w:r>
      <w:r>
        <w:rPr>
          <w:b w:val="0"/>
          <w:i w:val="0"/>
          <w:sz w:val="20"/>
        </w:rPr>
        <w:t>NPS cae en todos los segmentos trimestre tras trimestre. Caída más pronunciada en D (+15 → -18, −33 pts). Segmento C-/D+ cruzó a territorio negativo en Q4.</w:t>
      </w:r>
    </w:p>
    <w:p>
      <w:r>
        <w:rPr>
          <w:b/>
          <w:i w:val="0"/>
          <w:color w:val="E63946"/>
          <w:sz w:val="22"/>
        </w:rPr>
        <w:t>2. TOP 3 DOLORES DEL CLIENTE · Q4 2025 (comentarios verbatim)</w:t>
      </w:r>
    </w:p>
    <w:p>
      <w:r>
        <w:rPr>
          <w:b/>
          <w:i w:val="0"/>
          <w:color w:val="0B2545"/>
          <w:sz w:val="20"/>
        </w:rPr>
        <w:t>A · Tiempo de espera en sucursal (42% de comentarios negativos)</w:t>
      </w:r>
    </w:p>
    <w:p>
      <w:r>
        <w:rPr>
          <w:b w:val="0"/>
          <w:i/>
          <w:color w:val="5B6676"/>
          <w:sz w:val="19"/>
        </w:rPr>
        <w:t>"Fui a cobrar mi pensión y me tardé 2 horas. Solo había 3 cajeras para 40 personas. A mi edad eso es mucho."</w:t>
      </w:r>
    </w:p>
    <w:p>
      <w:r>
        <w:rPr>
          <w:b w:val="0"/>
          <w:i w:val="0"/>
          <w:color w:val="5B6676"/>
          <w:sz w:val="18"/>
        </w:rPr>
        <w:t xml:space="preserve">  — Sra. Guadalupe M., 68 años, sucursal Iztapalapa</w:t>
      </w:r>
    </w:p>
    <w:p>
      <w:r>
        <w:rPr>
          <w:b/>
          <w:i w:val="0"/>
          <w:color w:val="0B2545"/>
          <w:sz w:val="20"/>
        </w:rPr>
        <w:t>B · App móvil se cae en quincena (28% de comentarios negativos)</w:t>
      </w:r>
    </w:p>
    <w:p>
      <w:r>
        <w:rPr>
          <w:b w:val="0"/>
          <w:i/>
          <w:color w:val="5B6676"/>
          <w:sz w:val="19"/>
        </w:rPr>
        <w:t>"La app se congela el día 15 y 30. Necesito ver mi saldo y no puedo. Ya me pasó 3 meses seguidos. Voy a cambiarme a otro banco."</w:t>
      </w:r>
    </w:p>
    <w:p>
      <w:r>
        <w:rPr>
          <w:b w:val="0"/>
          <w:i w:val="0"/>
          <w:color w:val="5B6676"/>
          <w:sz w:val="18"/>
        </w:rPr>
        <w:t xml:space="preserve">  — Sr. Roberto J., 34 años, cliente nómina 6 años</w:t>
      </w:r>
    </w:p>
    <w:p>
      <w:r>
        <w:rPr>
          <w:b/>
          <w:i w:val="0"/>
          <w:color w:val="0B2545"/>
          <w:sz w:val="20"/>
        </w:rPr>
        <w:t>C · Crédito preaprobado que no se concreta (19% de comentarios negativos)</w:t>
      </w:r>
    </w:p>
    <w:p>
      <w:r>
        <w:rPr>
          <w:b w:val="0"/>
          <w:i/>
          <w:color w:val="5B6676"/>
          <w:sz w:val="19"/>
        </w:rPr>
        <w:t>"Me llegó SMS diciendo que tenía 15 mil pesos preaprobados. Fui a la sucursal y el ejecutivo me dijo que necesitaba aval y más papeles. ¿Entonces para qué me mandan el SMS?"</w:t>
      </w:r>
    </w:p>
    <w:p>
      <w:r>
        <w:rPr>
          <w:b w:val="0"/>
          <w:i w:val="0"/>
          <w:color w:val="5B6676"/>
          <w:sz w:val="18"/>
        </w:rPr>
        <w:t xml:space="preserve">  — Sra. Claudia R., 29 años, cliente nuevo</w:t>
      </w:r>
    </w:p>
    <w:p>
      <w:r>
        <w:rPr>
          <w:b/>
          <w:i w:val="0"/>
          <w:color w:val="E63946"/>
          <w:sz w:val="22"/>
        </w:rPr>
        <w:t>3. CHURN POR COHORTE · Q4 2025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</w:tcPr>
          <w:p>
            <w:r>
              <w:rPr>
                <w:b/>
                <w:sz w:val="18"/>
              </w:rPr>
              <w:t>Cohorte</w:t>
            </w:r>
          </w:p>
        </w:tc>
        <w:tc>
          <w:tcPr>
            <w:tcW w:type="dxa" w:w="2550"/>
          </w:tcPr>
          <w:p>
            <w:r>
              <w:rPr>
                <w:b/>
                <w:sz w:val="18"/>
              </w:rPr>
              <w:t>Clientes activos</w:t>
            </w:r>
          </w:p>
        </w:tc>
        <w:tc>
          <w:tcPr>
            <w:tcW w:type="dxa" w:w="2550"/>
          </w:tcPr>
          <w:p>
            <w:r>
              <w:rPr>
                <w:b/>
                <w:sz w:val="18"/>
              </w:rPr>
              <w:t>Churn Q4</w:t>
            </w:r>
          </w:p>
        </w:tc>
        <w:tc>
          <w:tcPr>
            <w:tcW w:type="dxa" w:w="2550"/>
          </w:tcPr>
          <w:p>
            <w:r>
              <w:rPr>
                <w:b/>
                <w:sz w:val="18"/>
              </w:rPr>
              <w:t>Razón principal</w:t>
            </w:r>
          </w:p>
        </w:tc>
      </w:tr>
      <w:tr>
        <w:tc>
          <w:tcPr>
            <w:tcW w:type="dxa" w:w="2550"/>
          </w:tcPr>
          <w:p>
            <w:r>
              <w:rPr>
                <w:sz w:val="18"/>
              </w:rPr>
              <w:t>Clientes &lt;2 años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2.1M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8.4%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Crédito preaprobado que no concreta</w:t>
            </w:r>
          </w:p>
        </w:tc>
      </w:tr>
      <w:tr>
        <w:tc>
          <w:tcPr>
            <w:tcW w:type="dxa" w:w="2550"/>
          </w:tcPr>
          <w:p>
            <w:r>
              <w:rPr>
                <w:sz w:val="18"/>
              </w:rPr>
              <w:t>Clientes 2-5 años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4.8M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4.2%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App móvil inestable</w:t>
            </w:r>
          </w:p>
        </w:tc>
      </w:tr>
      <w:tr>
        <w:tc>
          <w:tcPr>
            <w:tcW w:type="dxa" w:w="2550"/>
          </w:tcPr>
          <w:p>
            <w:r>
              <w:rPr>
                <w:sz w:val="18"/>
              </w:rPr>
              <w:t>Clientes &gt;5 años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7.3M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2.8%</w:t>
            </w:r>
          </w:p>
        </w:tc>
        <w:tc>
          <w:tcPr>
            <w:tcW w:type="dxa" w:w="2550"/>
          </w:tcPr>
          <w:p>
            <w:r>
              <w:rPr>
                <w:sz w:val="18"/>
              </w:rPr>
              <w:t>Tiempo de espera en sucursal</w:t>
            </w:r>
          </w:p>
        </w:tc>
      </w:tr>
    </w:tbl>
    <w:p>
      <w:r>
        <w:rPr>
          <w:b/>
          <w:i w:val="0"/>
          <w:color w:val="E63946"/>
          <w:sz w:val="22"/>
        </w:rPr>
        <w:t>4. VOLUMEN DE QUEJAS POR CANAL · Q4 2025</w:t>
      </w:r>
    </w:p>
    <w:p>
      <w:r>
        <w:rPr>
          <w:b w:val="0"/>
          <w:i w:val="0"/>
          <w:sz w:val="20"/>
        </w:rPr>
        <w:t>• CONDUSEF: 4,250 quejas (+18% vs Q3)</w:t>
        <w:br/>
      </w:r>
      <w:r>
        <w:rPr>
          <w:b w:val="0"/>
          <w:i w:val="0"/>
          <w:sz w:val="20"/>
        </w:rPr>
        <w:t>• Redes sociales (Twitter/X + Facebook): 12,800 menciones negativas (+34% vs Q3)</w:t>
        <w:br/>
      </w:r>
      <w:r>
        <w:rPr>
          <w:b w:val="0"/>
          <w:i w:val="0"/>
          <w:sz w:val="20"/>
        </w:rPr>
        <w:t>• Call center: 180,000 llamadas escaladas a supervisor (+22% vs Q3)</w:t>
        <w:br/>
      </w:r>
      <w:r>
        <w:rPr>
          <w:b w:val="0"/>
          <w:i w:val="0"/>
          <w:sz w:val="20"/>
        </w:rPr>
        <w:t>• Sucursal (libro de quejas): 8,900 registros (+11% vs Q3)</w:t>
      </w:r>
    </w:p>
    <w:p>
      <w:r>
        <w:rPr>
          <w:b w:val="0"/>
          <w:i w:val="0"/>
          <w:color w:val="E3E6EC"/>
          <w:sz w:val="16"/>
        </w:rPr>
        <w:t>_____________________________________________________________________________________</w:t>
      </w:r>
    </w:p>
    <w:p>
      <w:r>
        <w:rPr>
          <w:b w:val="0"/>
          <w:i/>
          <w:color w:val="5B6676"/>
          <w:sz w:val="16"/>
        </w:rPr>
        <w:t>Dashboard preparado por Dirección de Experiencia de Cliente · Banco Azteca · Confidencial</w:t>
      </w:r>
    </w:p>
    <w:sectPr w:rsidR="00FC693F" w:rsidRPr="0006063C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